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Bibliographic Control and Metadata Committee</w:t>
      </w:r>
    </w:p>
    <w:p w:rsidR="00000000" w:rsidDel="00000000" w:rsidP="00000000" w:rsidRDefault="00000000" w:rsidRPr="00000000" w14:paraId="00000002">
      <w:pPr>
        <w:ind w:firstLine="285"/>
        <w:jc w:val="center"/>
        <w:rPr>
          <w:b w:val="1"/>
        </w:rPr>
      </w:pPr>
      <w:r w:rsidDel="00000000" w:rsidR="00000000" w:rsidRPr="00000000">
        <w:rPr>
          <w:b w:val="1"/>
          <w:rtl w:val="0"/>
        </w:rPr>
        <w:t xml:space="preserve">New Jersey Library Association College and University Section and ACRL New Jersey Chapter</w:t>
      </w:r>
    </w:p>
    <w:p w:rsidR="00000000" w:rsidDel="00000000" w:rsidP="00000000" w:rsidRDefault="00000000" w:rsidRPr="00000000" w14:paraId="00000003">
      <w:pPr>
        <w:ind w:firstLine="285"/>
        <w:jc w:val="center"/>
        <w:rPr>
          <w:b w:val="1"/>
        </w:rPr>
      </w:pPr>
      <w:r w:rsidDel="00000000" w:rsidR="00000000" w:rsidRPr="00000000">
        <w:rPr>
          <w:b w:val="1"/>
          <w:rtl w:val="0"/>
        </w:rPr>
        <w:t xml:space="preserve">Spring Meeting</w:t>
      </w:r>
    </w:p>
    <w:p w:rsidR="00000000" w:rsidDel="00000000" w:rsidP="00000000" w:rsidRDefault="00000000" w:rsidRPr="00000000" w14:paraId="00000004">
      <w:pPr>
        <w:ind w:firstLine="285"/>
        <w:jc w:val="center"/>
        <w:rPr>
          <w:b w:val="1"/>
        </w:rPr>
      </w:pPr>
      <w:r w:rsidDel="00000000" w:rsidR="00000000" w:rsidRPr="00000000">
        <w:rPr>
          <w:b w:val="1"/>
          <w:rtl w:val="0"/>
        </w:rPr>
        <w:t xml:space="preserve">10:00 a.m., March 18, 2021</w:t>
      </w:r>
    </w:p>
    <w:p w:rsidR="00000000" w:rsidDel="00000000" w:rsidP="00000000" w:rsidRDefault="00000000" w:rsidRPr="00000000" w14:paraId="00000005">
      <w:pPr>
        <w:ind w:firstLine="285"/>
        <w:jc w:val="center"/>
        <w:rPr>
          <w:b w:val="1"/>
        </w:rPr>
      </w:pPr>
      <w:r w:rsidDel="00000000" w:rsidR="00000000" w:rsidRPr="00000000">
        <w:rPr>
          <w:b w:val="1"/>
          <w:rtl w:val="0"/>
        </w:rPr>
        <w:t xml:space="preserve">[Virtual]</w:t>
      </w:r>
    </w:p>
    <w:p w:rsidR="00000000" w:rsidDel="00000000" w:rsidP="00000000" w:rsidRDefault="00000000" w:rsidRPr="00000000" w14:paraId="00000006">
      <w:pPr>
        <w:ind w:firstLine="285"/>
        <w:jc w:val="center"/>
        <w:rPr>
          <w:b w:val="1"/>
        </w:rPr>
      </w:pPr>
      <w:r w:rsidDel="00000000" w:rsidR="00000000" w:rsidRPr="00000000">
        <w:rPr>
          <w:b w:val="1"/>
          <w:rtl w:val="0"/>
        </w:rPr>
        <w:t xml:space="preserve">Agenda</w:t>
      </w:r>
    </w:p>
    <w:p w:rsidR="00000000" w:rsidDel="00000000" w:rsidP="00000000" w:rsidRDefault="00000000" w:rsidRPr="00000000" w14:paraId="00000007">
      <w:pPr>
        <w:ind w:firstLine="285"/>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Sharon An (Rowan), Colin Bitter (TCNJ, Chair), Regina Cannizzaro (County College of Morris)</w:t>
      </w:r>
      <w:r w:rsidDel="00000000" w:rsidR="00000000" w:rsidRPr="00000000">
        <w:rPr>
          <w:sz w:val="22"/>
          <w:szCs w:val="22"/>
          <w:rtl w:val="0"/>
        </w:rPr>
        <w:t xml:space="preserve">, </w:t>
      </w:r>
      <w:r w:rsidDel="00000000" w:rsidR="00000000" w:rsidRPr="00000000">
        <w:rPr>
          <w:rtl w:val="0"/>
        </w:rPr>
        <w:t xml:space="preserve"> Mei Ling Chow (Montclair), Imani Hardaway (William Paterson), Melissa Hofmann (Rider, Minutes), Martha Loesch (Seton Hall), Melissa De Fino (Rutgers), Karen Oliver (New Jersey State Library), Yuji Tosaka (TCNJ), Lisa Weissbard (NJIT)</w:t>
      </w:r>
    </w:p>
    <w:p w:rsidR="00000000" w:rsidDel="00000000" w:rsidP="00000000" w:rsidRDefault="00000000" w:rsidRPr="00000000" w14:paraId="00000009">
      <w:pPr>
        <w:ind w:firstLine="285"/>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color w:val="000000"/>
          <w:rtl w:val="0"/>
        </w:rPr>
        <w:t xml:space="preserve">Selection of minutes </w:t>
      </w:r>
      <w:r w:rsidDel="00000000" w:rsidR="00000000" w:rsidRPr="00000000">
        <w:rPr>
          <w:b w:val="1"/>
          <w:rtl w:val="0"/>
        </w:rPr>
        <w:t xml:space="preserve">t</w:t>
      </w:r>
      <w:r w:rsidDel="00000000" w:rsidR="00000000" w:rsidRPr="00000000">
        <w:rPr>
          <w:b w:val="1"/>
          <w:color w:val="000000"/>
          <w:rtl w:val="0"/>
        </w:rPr>
        <w:t xml:space="preserve">aker</w:t>
      </w:r>
      <w:r w:rsidDel="00000000" w:rsidR="00000000" w:rsidRPr="00000000">
        <w:rPr>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Melissa Hofmann </w:t>
      </w:r>
      <w:r w:rsidDel="00000000" w:rsidR="00000000" w:rsidRPr="00000000">
        <w:rPr>
          <w:rtl w:val="0"/>
        </w:rPr>
        <w:t xml:space="preserve">volunteered to take minutes.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color w:val="000000"/>
          <w:rtl w:val="0"/>
        </w:rPr>
        <w:t xml:space="preserve">Approval of </w:t>
      </w:r>
      <w:r w:rsidDel="00000000" w:rsidR="00000000" w:rsidRPr="00000000">
        <w:rPr>
          <w:b w:val="1"/>
          <w:rtl w:val="0"/>
        </w:rPr>
        <w:t xml:space="preserve">fall</w:t>
      </w:r>
      <w:r w:rsidDel="00000000" w:rsidR="00000000" w:rsidRPr="00000000">
        <w:rPr>
          <w:b w:val="1"/>
          <w:color w:val="000000"/>
          <w:rtl w:val="0"/>
        </w:rPr>
        <w:t xml:space="preserve"> </w:t>
      </w:r>
      <w:r w:rsidDel="00000000" w:rsidR="00000000" w:rsidRPr="00000000">
        <w:rPr>
          <w:b w:val="1"/>
          <w:rtl w:val="0"/>
        </w:rPr>
        <w:t xml:space="preserve">m</w:t>
      </w:r>
      <w:r w:rsidDel="00000000" w:rsidR="00000000" w:rsidRPr="00000000">
        <w:rPr>
          <w:b w:val="1"/>
          <w:color w:val="000000"/>
          <w:rtl w:val="0"/>
        </w:rPr>
        <w:t xml:space="preserve">eeting </w:t>
      </w:r>
      <w:r w:rsidDel="00000000" w:rsidR="00000000" w:rsidRPr="00000000">
        <w:rPr>
          <w:b w:val="1"/>
          <w:rtl w:val="0"/>
        </w:rPr>
        <w:t xml:space="preserve">m</w:t>
      </w:r>
      <w:r w:rsidDel="00000000" w:rsidR="00000000" w:rsidRPr="00000000">
        <w:rPr>
          <w:b w:val="1"/>
          <w:color w:val="000000"/>
          <w:rtl w:val="0"/>
        </w:rPr>
        <w:t xml:space="preserve">inutes</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t xml:space="preserve">October 15, 2020 minutes approved.</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3. </w:t>
      </w:r>
      <w:r w:rsidDel="00000000" w:rsidR="00000000" w:rsidRPr="00000000">
        <w:rPr>
          <w:b w:val="1"/>
          <w:color w:val="000000"/>
          <w:rtl w:val="0"/>
        </w:rPr>
        <w:t xml:space="preserve">Chair’s report (Bitter)</w:t>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Update from NJLA CUS/ACRL-NJ EB: Alyssa Valenti proposes a new Electronic Resources committee, which would be separate from the Technology Committee.</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NJLA will be virtual this year. Awards presented during the traditional luncheon will be a virtual session.</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NJLA CUS/ACRL-NJ is considering a name change, to combat the unwieldy initialism.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April 19th is the deadline for the NJLA CUS/ACRL-NJ newsletter.</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NJLA CUS/ACRL-NJ Executive Board elections will take place before the conference. NJLA EB already announced.</w:t>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4. Vice Chair nominations (Bitter)</w:t>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t xml:space="preserve">Colin nominated Yuji to be Vice Chair; he accepted, effective immediately; Thank you to Sharon An, who graciously volunteered to be Vice Chair temporarily this past year.</w:t>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b w:val="1"/>
          <w:rtl w:val="0"/>
        </w:rPr>
        <w:t xml:space="preserve">5. Technical Services Award update (Loesch).</w:t>
      </w: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t xml:space="preserve">Martha reported no nominations. Melissa Hofmann will nominate someone later today.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b w:val="1"/>
          <w:rtl w:val="0"/>
        </w:rPr>
        <w:t xml:space="preserve">6. </w:t>
      </w:r>
      <w:r w:rsidDel="00000000" w:rsidR="00000000" w:rsidRPr="00000000">
        <w:rPr>
          <w:b w:val="1"/>
          <w:color w:val="000000"/>
          <w:rtl w:val="0"/>
        </w:rPr>
        <w:t xml:space="preserve">Cataloging issues updates (Tosaka)</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t xml:space="preserve">Yuji reported on RDA 3R Implementation, which will happen no earlier than July 2022 for LC. LC will test and analyze results in Nov.-Dec. 2021 with a Spring 2022 report. All LC staff will be fully trained in BIBFRAME by end of FY 2021 and will then produce BIBFRAME descriptions only, rather than perform dual cataloging in BIBFRAME and MARC (will convert from BIBFRAME to MARC to distribute to OCLC). We need to spend the next year and a half prepping for the new RDA. OCLC platform and BIBFRAME? We will be relying on MARC for the foreseeable future. Keep an eye out for new training materials. LC-PCC policy statements will be finished in early April.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t xml:space="preserve">Upcoming training materials include those by ALA Publishing (new revised book on RDA 3R; and updated Maxwell), as well new PCC training programs later this year. RDA is not a traditional cataloging model, more of a data model/ dictionary of possible data elements (everything is optional), so we will need PCC-RDA Metadata Documentation and LC-PCC Policy Statements to drive our cataloging life. Implications for copy catalogers include finding exact matches for records; also changes to continuing resources/aggregates.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t xml:space="preserve">NACO 024 URI moratorium lifted in Dec. 2020. NACO participants should file production statistics monthly to PCC as obligated. Cathy Weng (Brown U) is still official coordinator for NJ-NY NACO Funnel; NJ catalogers can send daily questions to Yuji.</w:t>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Diversity, Equity, Inclusion in Cataloging and Metadata. PCC has added as a new strategic direction (SD7) in Nov. 2020 to current PCC Strategic Directions.  New advisory committee.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t xml:space="preserve">Discussion on implications for technical services involved in addressing institutional DEI efforts at the department level and specifics, such as LCSH defaulting to white, male norms in terminology and qualifying those that deviate from the norm: e.g., Women physicians, African American physicians. In the past decade catalogers have been spending time on technical initiatives, but how much improvement has this made in the (e)quality of our data and meaningful information access of our users? </w:t>
      </w:r>
    </w:p>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7. </w:t>
      </w:r>
      <w:r w:rsidDel="00000000" w:rsidR="00000000" w:rsidRPr="00000000">
        <w:rPr>
          <w:b w:val="1"/>
          <w:color w:val="000000"/>
          <w:rtl w:val="0"/>
        </w:rPr>
        <w:t xml:space="preserve">Open discussion on cataloging/metadata issues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Email prior to the meeting from Deborah Pluss about removing GMD from records: no further discussion.</w:t>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t xml:space="preserve">Colin discussed a DEI initiative at TCNJ: Children’s book stickers that designate specific cultural, religious, and ethnic identities are being removed.</w:t>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“Illegal aliens” discussion. Melissa Hofmann mentioned recent library faculty discussion and preliminary plans to change the heading. General discussion of options to be considered (change, add a local heading, normalization rules). Yuji thought the discussion of outdated language and other DEI cataloging issues would be a good VALE presentation by the BCMC. Colin suggested sensitivity statements about outdated/offensive language for an entire database instead of record by record, as language/thought is constantly evolving.</w:t>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t xml:space="preserve">Martha Loesch: Seton Hall was considering moving to Folio, but decided not to at this time because the cataloging module is not well developed, so Connexion would be an extra cost. Would also prefer to wait until fully developed. Renewed WMS for three more years. Folio does support BIBFRAME.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t xml:space="preserve">Firm-order ebooks discussion. Sharon An mentioned they are only buying print if ebooks aren’t available. Colin and Yuji discussed TCNJ’s process, which involves copy catalogers taking an initial pass, with ultimate review and original cataloging done by librarians. Melissa Hofmann catalogs purchased titles individually; updates master records when necessary; fixes subscription titles when issues found. Sharon runs reports to see if bulk loaded records are lacking subject headings. During COVID downtime, TCNJ had copy catalogers check old Netlibrary records against master records to overlay (approximately 4,000 records). Quality of records discussed: OK to improved quality in recent years, with many print-derived records and more libraries purchasing ebooks. Questions about Primo and ebook subscriptions.</w:t>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8. </w:t>
      </w:r>
      <w:r w:rsidDel="00000000" w:rsidR="00000000" w:rsidRPr="00000000">
        <w:rPr>
          <w:b w:val="1"/>
          <w:color w:val="000000"/>
          <w:rtl w:val="0"/>
        </w:rPr>
        <w:t xml:space="preserve">New business.</w:t>
      </w:r>
      <w:r w:rsidDel="00000000" w:rsidR="00000000" w:rsidRPr="00000000">
        <w:rPr>
          <w:color w:val="00000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rtl w:val="0"/>
        </w:rPr>
        <w:t xml:space="preserve">Brief mention of potential </w:t>
      </w:r>
      <w:r w:rsidDel="00000000" w:rsidR="00000000" w:rsidRPr="00000000">
        <w:rPr>
          <w:color w:val="000000"/>
          <w:rtl w:val="0"/>
        </w:rPr>
        <w:t xml:space="preserve">William </w:t>
      </w:r>
      <w:r w:rsidDel="00000000" w:rsidR="00000000" w:rsidRPr="00000000">
        <w:rPr>
          <w:rtl w:val="0"/>
        </w:rPr>
        <w:t xml:space="preserve">Paterson lay-off notices.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tl w:val="0"/>
        </w:rPr>
        <w:t xml:space="preserve">Discussion of lecturer/NTT vs TT librarian positions (Rowan considering lecturer positions).</w:t>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9. Selection of next meeting date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t xml:space="preserve">Next meeting is July 8th, 2021 @ 10am.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